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1" w:rsidRPr="0091214F" w:rsidRDefault="0091214F" w:rsidP="0091214F">
      <w:pPr>
        <w:jc w:val="center"/>
        <w:rPr>
          <w:b/>
          <w:sz w:val="32"/>
        </w:rPr>
      </w:pPr>
      <w:r w:rsidRPr="0091214F">
        <w:rPr>
          <w:b/>
          <w:sz w:val="32"/>
        </w:rPr>
        <w:t xml:space="preserve">MI School Data </w:t>
      </w:r>
      <w:r>
        <w:rPr>
          <w:b/>
          <w:sz w:val="32"/>
        </w:rPr>
        <w:t xml:space="preserve">Special Education Focused </w:t>
      </w:r>
      <w:r w:rsidRPr="0091214F">
        <w:rPr>
          <w:b/>
          <w:sz w:val="32"/>
        </w:rPr>
        <w:t>Activities</w:t>
      </w:r>
    </w:p>
    <w:p w:rsidR="0091214F" w:rsidRPr="0091214F" w:rsidRDefault="0091214F" w:rsidP="0091214F">
      <w:pPr>
        <w:rPr>
          <w:b/>
        </w:rPr>
      </w:pPr>
      <w:r w:rsidRPr="0091214F">
        <w:rPr>
          <w:b/>
        </w:rPr>
        <w:t>5 Year Proficiency Trend Analysis</w:t>
      </w:r>
    </w:p>
    <w:p w:rsidR="0091214F" w:rsidRDefault="0091214F" w:rsidP="0091214F">
      <w:r>
        <w:t>1. Select Student Testing and the Assessment to analyze.</w:t>
      </w:r>
    </w:p>
    <w:p w:rsidR="0091214F" w:rsidRDefault="0091214F" w:rsidP="0091214F">
      <w:r>
        <w:rPr>
          <w:noProof/>
        </w:rPr>
        <w:drawing>
          <wp:inline distT="0" distB="0" distL="0" distR="0">
            <wp:extent cx="5943600" cy="15478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547813"/>
                    </a:xfrm>
                    <a:prstGeom prst="rect">
                      <a:avLst/>
                    </a:prstGeom>
                    <a:noFill/>
                    <a:ln w="9525">
                      <a:noFill/>
                      <a:miter lim="800000"/>
                      <a:headEnd/>
                      <a:tailEnd/>
                    </a:ln>
                  </pic:spPr>
                </pic:pic>
              </a:graphicData>
            </a:graphic>
          </wp:inline>
        </w:drawing>
      </w:r>
    </w:p>
    <w:p w:rsidR="0091214F" w:rsidRDefault="0091214F" w:rsidP="0091214F">
      <w:r>
        <w:t>2. Select your location from the Find Location section. Select the School Year, Grade, Subject, and Students with Disabilities from the Report Settings section. Click View Results.</w:t>
      </w:r>
    </w:p>
    <w:p w:rsidR="0091214F" w:rsidRDefault="0091214F" w:rsidP="0091214F">
      <w:r>
        <w:rPr>
          <w:noProof/>
        </w:rPr>
        <w:drawing>
          <wp:inline distT="0" distB="0" distL="0" distR="0">
            <wp:extent cx="4393708" cy="4038600"/>
            <wp:effectExtent l="19050" t="0" r="684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393708" cy="4038600"/>
                    </a:xfrm>
                    <a:prstGeom prst="rect">
                      <a:avLst/>
                    </a:prstGeom>
                    <a:noFill/>
                    <a:ln w="9525">
                      <a:noFill/>
                      <a:miter lim="800000"/>
                      <a:headEnd/>
                      <a:tailEnd/>
                    </a:ln>
                  </pic:spPr>
                </pic:pic>
              </a:graphicData>
            </a:graphic>
          </wp:inline>
        </w:drawing>
      </w:r>
    </w:p>
    <w:p w:rsidR="0091214F" w:rsidRDefault="0091214F" w:rsidP="0091214F"/>
    <w:p w:rsidR="0091214F" w:rsidRDefault="0091214F" w:rsidP="0091214F"/>
    <w:p w:rsidR="0091214F" w:rsidRDefault="0091214F" w:rsidP="0091214F">
      <w:r>
        <w:lastRenderedPageBreak/>
        <w:t>3. The results are displayed in a graphic format. To view the trend, click the Trend radial button.</w:t>
      </w:r>
    </w:p>
    <w:p w:rsidR="0091214F" w:rsidRDefault="0091214F" w:rsidP="0091214F">
      <w:r>
        <w:rPr>
          <w:noProof/>
        </w:rPr>
        <w:drawing>
          <wp:inline distT="0" distB="0" distL="0" distR="0">
            <wp:extent cx="5943600" cy="547072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5470721"/>
                    </a:xfrm>
                    <a:prstGeom prst="rect">
                      <a:avLst/>
                    </a:prstGeom>
                    <a:noFill/>
                    <a:ln w="9525">
                      <a:noFill/>
                      <a:miter lim="800000"/>
                      <a:headEnd/>
                      <a:tailEnd/>
                    </a:ln>
                  </pic:spPr>
                </pic:pic>
              </a:graphicData>
            </a:graphic>
          </wp:inline>
        </w:drawing>
      </w:r>
    </w:p>
    <w:p w:rsidR="0091214F" w:rsidRDefault="0091214F" w:rsidP="0091214F"/>
    <w:p w:rsidR="0091214F" w:rsidRDefault="0091214F" w:rsidP="0091214F"/>
    <w:p w:rsidR="0091214F" w:rsidRDefault="0091214F" w:rsidP="0091214F"/>
    <w:p w:rsidR="0091214F" w:rsidRDefault="0091214F" w:rsidP="0091214F"/>
    <w:p w:rsidR="0091214F" w:rsidRDefault="0091214F" w:rsidP="0091214F"/>
    <w:p w:rsidR="0091214F" w:rsidRDefault="0091214F" w:rsidP="0091214F"/>
    <w:p w:rsidR="0091214F" w:rsidRDefault="0091214F" w:rsidP="0091214F"/>
    <w:p w:rsidR="0091214F" w:rsidRDefault="0091214F" w:rsidP="0091214F">
      <w:r>
        <w:lastRenderedPageBreak/>
        <w:t xml:space="preserve">4. The trend results are displayed in a line graph and tabular format. </w:t>
      </w:r>
    </w:p>
    <w:p w:rsidR="0091214F" w:rsidRDefault="0091214F" w:rsidP="0091214F">
      <w:r>
        <w:rPr>
          <w:noProof/>
        </w:rPr>
        <w:drawing>
          <wp:inline distT="0" distB="0" distL="0" distR="0">
            <wp:extent cx="5943600" cy="568017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5680172"/>
                    </a:xfrm>
                    <a:prstGeom prst="rect">
                      <a:avLst/>
                    </a:prstGeom>
                    <a:noFill/>
                    <a:ln w="9525">
                      <a:noFill/>
                      <a:miter lim="800000"/>
                      <a:headEnd/>
                      <a:tailEnd/>
                    </a:ln>
                  </pic:spPr>
                </pic:pic>
              </a:graphicData>
            </a:graphic>
          </wp:inline>
        </w:drawing>
      </w:r>
    </w:p>
    <w:p w:rsidR="003A42F5" w:rsidRDefault="003A42F5" w:rsidP="0091214F"/>
    <w:p w:rsidR="003A42F5" w:rsidRDefault="003A42F5" w:rsidP="0091214F"/>
    <w:p w:rsidR="003A42F5" w:rsidRDefault="003A42F5" w:rsidP="0091214F"/>
    <w:p w:rsidR="003A42F5" w:rsidRDefault="003A42F5" w:rsidP="0091214F"/>
    <w:p w:rsidR="003A42F5" w:rsidRDefault="003A42F5" w:rsidP="0091214F"/>
    <w:p w:rsidR="003A42F5" w:rsidRDefault="003A42F5" w:rsidP="0091214F"/>
    <w:p w:rsidR="008F58BD" w:rsidRDefault="008F58BD" w:rsidP="008F58BD">
      <w:pPr>
        <w:rPr>
          <w:b/>
        </w:rPr>
      </w:pPr>
      <w:r w:rsidRPr="0091214F">
        <w:rPr>
          <w:b/>
        </w:rPr>
        <w:lastRenderedPageBreak/>
        <w:t>5 Year Proficiency Trend Analysis</w:t>
      </w:r>
      <w:r>
        <w:rPr>
          <w:b/>
        </w:rPr>
        <w:t xml:space="preserve"> - Activity</w:t>
      </w:r>
    </w:p>
    <w:p w:rsidR="008F58BD" w:rsidRPr="00801943" w:rsidRDefault="00801943" w:rsidP="008F58BD">
      <w:r w:rsidRPr="00801943">
        <w:t xml:space="preserve">Using the directions above, describe the 5 year trend in Math and Reading with a selected school. </w:t>
      </w:r>
    </w:p>
    <w:p w:rsidR="00801943" w:rsidRDefault="00801943" w:rsidP="003A42F5"/>
    <w:p w:rsidR="008F58BD" w:rsidRDefault="00801943" w:rsidP="003A42F5">
      <w:r>
        <w:t>5 Year Trend Statement for Math</w:t>
      </w:r>
    </w:p>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r>
        <w:t>5 Year Trend Statement for Reading</w:t>
      </w:r>
    </w:p>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Default="00801943" w:rsidP="003A42F5"/>
    <w:p w:rsidR="00801943" w:rsidRPr="00801943" w:rsidRDefault="00801943" w:rsidP="003A42F5"/>
    <w:p w:rsidR="003A42F5" w:rsidRPr="003A42F5" w:rsidRDefault="003A42F5" w:rsidP="003A42F5">
      <w:pPr>
        <w:rPr>
          <w:b/>
        </w:rPr>
      </w:pPr>
      <w:r w:rsidRPr="003A42F5">
        <w:rPr>
          <w:b/>
        </w:rPr>
        <w:lastRenderedPageBreak/>
        <w:t>MEAP/MME Item and Strand Analysis</w:t>
      </w:r>
    </w:p>
    <w:p w:rsidR="003A42F5" w:rsidRDefault="003A42F5" w:rsidP="003A42F5">
      <w:r>
        <w:t>1. To access these inquires, you will need a MI School Data Login. Once you're logged in select Data for Student Success (Data 4SS).</w:t>
      </w:r>
    </w:p>
    <w:p w:rsidR="003A42F5" w:rsidRDefault="003A42F5" w:rsidP="003A42F5">
      <w:r>
        <w:rPr>
          <w:noProof/>
        </w:rPr>
        <w:drawing>
          <wp:inline distT="0" distB="0" distL="0" distR="0">
            <wp:extent cx="2190750" cy="9810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190750" cy="981075"/>
                    </a:xfrm>
                    <a:prstGeom prst="rect">
                      <a:avLst/>
                    </a:prstGeom>
                    <a:noFill/>
                    <a:ln w="9525">
                      <a:noFill/>
                      <a:miter lim="800000"/>
                      <a:headEnd/>
                      <a:tailEnd/>
                    </a:ln>
                  </pic:spPr>
                </pic:pic>
              </a:graphicData>
            </a:graphic>
          </wp:inline>
        </w:drawing>
      </w:r>
    </w:p>
    <w:p w:rsidR="003A42F5" w:rsidRDefault="003A42F5" w:rsidP="003A42F5">
      <w:r>
        <w:t xml:space="preserve">2. Select the analysis you would like to use. </w:t>
      </w:r>
    </w:p>
    <w:p w:rsidR="003A42F5" w:rsidRDefault="003A42F5" w:rsidP="003A42F5">
      <w:r>
        <w:rPr>
          <w:noProof/>
        </w:rPr>
        <w:drawing>
          <wp:inline distT="0" distB="0" distL="0" distR="0">
            <wp:extent cx="2162175" cy="2266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162175" cy="2266950"/>
                    </a:xfrm>
                    <a:prstGeom prst="rect">
                      <a:avLst/>
                    </a:prstGeom>
                    <a:noFill/>
                    <a:ln w="9525">
                      <a:noFill/>
                      <a:miter lim="800000"/>
                      <a:headEnd/>
                      <a:tailEnd/>
                    </a:ln>
                  </pic:spPr>
                </pic:pic>
              </a:graphicData>
            </a:graphic>
          </wp:inline>
        </w:drawing>
      </w:r>
    </w:p>
    <w:p w:rsidR="003A42F5" w:rsidRDefault="003A42F5" w:rsidP="003A42F5">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501015</wp:posOffset>
            </wp:positionV>
            <wp:extent cx="4619625" cy="3314700"/>
            <wp:effectExtent l="19050" t="0" r="9525" b="0"/>
            <wp:wrapTight wrapText="bothSides">
              <wp:wrapPolygon edited="0">
                <wp:start x="-89" y="0"/>
                <wp:lineTo x="-89" y="21476"/>
                <wp:lineTo x="21645" y="21476"/>
                <wp:lineTo x="21645" y="0"/>
                <wp:lineTo x="-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619625" cy="3314700"/>
                    </a:xfrm>
                    <a:prstGeom prst="rect">
                      <a:avLst/>
                    </a:prstGeom>
                    <a:noFill/>
                    <a:ln w="9525">
                      <a:noFill/>
                      <a:miter lim="800000"/>
                      <a:headEnd/>
                      <a:tailEnd/>
                    </a:ln>
                  </pic:spPr>
                </pic:pic>
              </a:graphicData>
            </a:graphic>
          </wp:anchor>
        </w:drawing>
      </w:r>
      <w:r>
        <w:t>3. Select your location, choose your school year, select a grade, subject, and choose Students with Disabilities in the Report Category. Click View Results.</w:t>
      </w:r>
    </w:p>
    <w:p w:rsidR="003A42F5" w:rsidRDefault="003A42F5" w:rsidP="003A42F5"/>
    <w:p w:rsidR="003A42F5" w:rsidRDefault="003A42F5"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r>
        <w:lastRenderedPageBreak/>
        <w:t xml:space="preserve">4. The results will be displayed in the following graphic. The graphic displays the strands that were assessed within the selected assessment subject. The light blue portion of the bar displays the minimum proficiency score within the strand. The white circle displays the building average. For example, within the Addition Subtraction Fluency Strand (23 potential question), students needed to receive 16.6 points to be proficient within the strand. However, the building average was 10.2. To dig deeper into this strand, click the light blue portion of the bar graph. </w:t>
      </w:r>
    </w:p>
    <w:p w:rsidR="008F58BD" w:rsidRDefault="008F58BD" w:rsidP="0091214F">
      <w:r>
        <w:rPr>
          <w:noProof/>
        </w:rPr>
        <w:drawing>
          <wp:inline distT="0" distB="0" distL="0" distR="0">
            <wp:extent cx="5943600" cy="443083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943600" cy="4430834"/>
                    </a:xfrm>
                    <a:prstGeom prst="rect">
                      <a:avLst/>
                    </a:prstGeom>
                    <a:noFill/>
                    <a:ln w="9525">
                      <a:noFill/>
                      <a:miter lim="800000"/>
                      <a:headEnd/>
                      <a:tailEnd/>
                    </a:ln>
                  </pic:spPr>
                </pic:pic>
              </a:graphicData>
            </a:graphic>
          </wp:inline>
        </w:drawing>
      </w:r>
    </w:p>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p w:rsidR="008F58BD" w:rsidRDefault="008F58BD" w:rsidP="0091214F">
      <w:r>
        <w:lastRenderedPageBreak/>
        <w:t xml:space="preserve">5. Digging into the strands will yield the following report. This report shows users which questions on the assessment were aligned to the selected strand. The graph shows the % of students responding correctly for each question (students with disabilities </w:t>
      </w:r>
      <w:proofErr w:type="spellStart"/>
      <w:r>
        <w:t>vs</w:t>
      </w:r>
      <w:proofErr w:type="spellEnd"/>
      <w:r>
        <w:t xml:space="preserve"> all except disabilities). </w:t>
      </w:r>
    </w:p>
    <w:p w:rsidR="008F58BD" w:rsidRDefault="008F58BD" w:rsidP="0091214F">
      <w:r>
        <w:rPr>
          <w:noProof/>
        </w:rPr>
        <w:drawing>
          <wp:inline distT="0" distB="0" distL="0" distR="0">
            <wp:extent cx="5943600" cy="441242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943600" cy="4412423"/>
                    </a:xfrm>
                    <a:prstGeom prst="rect">
                      <a:avLst/>
                    </a:prstGeom>
                    <a:noFill/>
                    <a:ln w="9525">
                      <a:noFill/>
                      <a:miter lim="800000"/>
                      <a:headEnd/>
                      <a:tailEnd/>
                    </a:ln>
                  </pic:spPr>
                </pic:pic>
              </a:graphicData>
            </a:graphic>
          </wp:inline>
        </w:drawing>
      </w:r>
    </w:p>
    <w:p w:rsidR="008F58BD" w:rsidRDefault="008F58BD" w:rsidP="0091214F">
      <w:r>
        <w:t>6. The results are also displayed in a tabular format. The table shows the details, in particular the Item Gap% , GLCE, and GLCE Description.</w:t>
      </w:r>
    </w:p>
    <w:p w:rsidR="008F58BD" w:rsidRDefault="008F58BD" w:rsidP="0091214F">
      <w:r>
        <w:rPr>
          <w:noProof/>
        </w:rPr>
        <w:drawing>
          <wp:inline distT="0" distB="0" distL="0" distR="0">
            <wp:extent cx="5943600" cy="14954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b="59744"/>
                    <a:stretch>
                      <a:fillRect/>
                    </a:stretch>
                  </pic:blipFill>
                  <pic:spPr bwMode="auto">
                    <a:xfrm>
                      <a:off x="0" y="0"/>
                      <a:ext cx="5943600" cy="1495425"/>
                    </a:xfrm>
                    <a:prstGeom prst="rect">
                      <a:avLst/>
                    </a:prstGeom>
                    <a:noFill/>
                    <a:ln w="9525">
                      <a:noFill/>
                      <a:miter lim="800000"/>
                      <a:headEnd/>
                      <a:tailEnd/>
                    </a:ln>
                  </pic:spPr>
                </pic:pic>
              </a:graphicData>
            </a:graphic>
          </wp:inline>
        </w:drawing>
      </w:r>
    </w:p>
    <w:p w:rsidR="00801943" w:rsidRDefault="00801943" w:rsidP="0091214F"/>
    <w:p w:rsidR="00801943" w:rsidRDefault="00801943" w:rsidP="0091214F"/>
    <w:p w:rsidR="00801943" w:rsidRDefault="00801943" w:rsidP="00801943">
      <w:pPr>
        <w:rPr>
          <w:b/>
        </w:rPr>
      </w:pPr>
      <w:r w:rsidRPr="003A42F5">
        <w:rPr>
          <w:b/>
        </w:rPr>
        <w:lastRenderedPageBreak/>
        <w:t>MEAP/MME Item and Strand Analysis</w:t>
      </w:r>
      <w:r>
        <w:rPr>
          <w:b/>
        </w:rPr>
        <w:t xml:space="preserve"> - Activity</w:t>
      </w:r>
    </w:p>
    <w:p w:rsidR="00801943" w:rsidRDefault="00801943" w:rsidP="00801943">
      <w:r>
        <w:t xml:space="preserve">Using the directions above, identify the largest </w:t>
      </w:r>
      <w:r w:rsidRPr="00801943">
        <w:rPr>
          <w:b/>
        </w:rPr>
        <w:t>gap</w:t>
      </w:r>
      <w:r>
        <w:t xml:space="preserve"> in the lowest </w:t>
      </w:r>
      <w:r w:rsidRPr="00801943">
        <w:rPr>
          <w:b/>
        </w:rPr>
        <w:t>strand</w:t>
      </w:r>
      <w:r>
        <w:t xml:space="preserve"> of the Math and Reading assessment of your choice. </w:t>
      </w:r>
    </w:p>
    <w:p w:rsidR="00801943" w:rsidRDefault="00801943" w:rsidP="00801943">
      <w:r>
        <w:t>Lowest Math Strand</w:t>
      </w:r>
    </w:p>
    <w:p w:rsidR="00801943" w:rsidRDefault="00801943" w:rsidP="00801943"/>
    <w:p w:rsidR="00801943" w:rsidRDefault="00801943" w:rsidP="00801943"/>
    <w:p w:rsidR="00801943" w:rsidRDefault="00801943" w:rsidP="00801943">
      <w:r>
        <w:t>Largest Math GLCE Gap</w:t>
      </w:r>
    </w:p>
    <w:p w:rsidR="00801943" w:rsidRDefault="00801943" w:rsidP="00801943"/>
    <w:p w:rsidR="00801943" w:rsidRDefault="00801943" w:rsidP="00801943"/>
    <w:p w:rsidR="00801943" w:rsidRDefault="00801943" w:rsidP="00801943">
      <w:r>
        <w:t>Lowest Reading Strand</w:t>
      </w:r>
    </w:p>
    <w:p w:rsidR="00801943" w:rsidRDefault="00801943" w:rsidP="00801943"/>
    <w:p w:rsidR="00801943" w:rsidRDefault="00801943" w:rsidP="00801943"/>
    <w:p w:rsidR="00801943" w:rsidRDefault="00801943" w:rsidP="00801943">
      <w:r>
        <w:t>Largest Reading GLCE Gap</w:t>
      </w:r>
    </w:p>
    <w:p w:rsidR="00801943" w:rsidRDefault="00801943" w:rsidP="00801943"/>
    <w:p w:rsidR="00801943" w:rsidRDefault="00801943" w:rsidP="00801943"/>
    <w:p w:rsidR="00801943" w:rsidRDefault="00801943" w:rsidP="0091214F"/>
    <w:sectPr w:rsidR="00801943" w:rsidSect="00C77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214F"/>
    <w:rsid w:val="00273314"/>
    <w:rsid w:val="003A42F5"/>
    <w:rsid w:val="007D4E72"/>
    <w:rsid w:val="00801943"/>
    <w:rsid w:val="008F58BD"/>
    <w:rsid w:val="0091214F"/>
    <w:rsid w:val="00C77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607873">
      <w:bodyDiv w:val="1"/>
      <w:marLeft w:val="0"/>
      <w:marRight w:val="0"/>
      <w:marTop w:val="0"/>
      <w:marBottom w:val="0"/>
      <w:divBdr>
        <w:top w:val="none" w:sz="0" w:space="0" w:color="auto"/>
        <w:left w:val="none" w:sz="0" w:space="0" w:color="auto"/>
        <w:bottom w:val="none" w:sz="0" w:space="0" w:color="auto"/>
        <w:right w:val="none" w:sz="0" w:space="0" w:color="auto"/>
      </w:divBdr>
    </w:div>
    <w:div w:id="8808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fowlerm</dc:creator>
  <cp:lastModifiedBy>fowlerm</cp:lastModifiedBy>
  <cp:revision>2</cp:revision>
  <dcterms:created xsi:type="dcterms:W3CDTF">2012-10-02T13:00:00Z</dcterms:created>
  <dcterms:modified xsi:type="dcterms:W3CDTF">2012-10-07T11:44:00Z</dcterms:modified>
</cp:coreProperties>
</file>